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B7" w:rsidRDefault="00AC0AB7" w:rsidP="00500F44">
      <w:pPr>
        <w:ind w:left="-284"/>
        <w:jc w:val="center"/>
        <w:rPr>
          <w:b/>
          <w:sz w:val="72"/>
          <w:szCs w:val="72"/>
        </w:rPr>
      </w:pPr>
      <w:bookmarkStart w:id="0" w:name="_GoBack"/>
      <w:bookmarkEnd w:id="0"/>
    </w:p>
    <w:p w:rsidR="00AC0AB7" w:rsidRDefault="00AC0AB7" w:rsidP="00500F44">
      <w:pPr>
        <w:ind w:left="-284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w:drawing>
          <wp:inline distT="0" distB="0" distL="0" distR="0" wp14:anchorId="553DD93C" wp14:editId="40C3BE8C">
            <wp:extent cx="1533525" cy="1950536"/>
            <wp:effectExtent l="0" t="0" r="0" b="0"/>
            <wp:docPr id="1" name="Picture 1" descr="T:\Staff Resources\School House Reception\PAULINES WORK\POLICIES\StG Logo for poli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School House Reception\PAULINES WORK\POLICIES\StG Logo for polic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B7" w:rsidRDefault="00AC0AB7" w:rsidP="00500F44">
      <w:pPr>
        <w:spacing w:after="0"/>
        <w:jc w:val="center"/>
        <w:rPr>
          <w:b/>
          <w:sz w:val="72"/>
          <w:szCs w:val="72"/>
        </w:rPr>
      </w:pPr>
    </w:p>
    <w:p w:rsidR="00AC0AB7" w:rsidRDefault="00AC0AB7" w:rsidP="00500F44">
      <w:pPr>
        <w:spacing w:after="0" w:line="240" w:lineRule="auto"/>
        <w:ind w:left="-28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St. George’s School, Harpenden, Academy Trust</w:t>
      </w:r>
    </w:p>
    <w:p w:rsidR="00AC0AB7" w:rsidRDefault="00AC0AB7" w:rsidP="00AC0AB7">
      <w:pPr>
        <w:spacing w:after="0" w:line="240" w:lineRule="auto"/>
        <w:jc w:val="center"/>
        <w:rPr>
          <w:b/>
          <w:sz w:val="72"/>
          <w:szCs w:val="72"/>
        </w:rPr>
      </w:pPr>
    </w:p>
    <w:p w:rsidR="00AC0AB7" w:rsidRDefault="00AC0AB7" w:rsidP="00AC0AB7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Child Protection (Safeguarding) Policy </w:t>
      </w:r>
    </w:p>
    <w:p w:rsidR="00500F44" w:rsidRDefault="00500F44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AC0AB7" w:rsidRPr="00500F44" w:rsidRDefault="00AC0AB7" w:rsidP="009A7A3F">
      <w:pPr>
        <w:spacing w:line="240" w:lineRule="auto"/>
        <w:ind w:left="-284"/>
        <w:jc w:val="center"/>
        <w:rPr>
          <w:b/>
          <w:szCs w:val="24"/>
        </w:rPr>
      </w:pPr>
      <w:r>
        <w:rPr>
          <w:b/>
          <w:color w:val="008000"/>
          <w:sz w:val="44"/>
          <w:szCs w:val="44"/>
        </w:rPr>
        <w:lastRenderedPageBreak/>
        <w:t>CHILD PROTE</w:t>
      </w:r>
      <w:r w:rsidR="00B7485F">
        <w:rPr>
          <w:b/>
          <w:color w:val="008000"/>
          <w:sz w:val="44"/>
          <w:szCs w:val="44"/>
        </w:rPr>
        <w:t xml:space="preserve">CTION (SAFEGUARDING) POLICY </w:t>
      </w:r>
    </w:p>
    <w:p w:rsidR="00500F44" w:rsidRDefault="00500F44" w:rsidP="00E05865">
      <w:pPr>
        <w:spacing w:after="0" w:line="240" w:lineRule="auto"/>
        <w:ind w:left="-284" w:right="261"/>
        <w:jc w:val="both"/>
        <w:rPr>
          <w:b/>
          <w:color w:val="008000"/>
          <w:szCs w:val="24"/>
        </w:rPr>
      </w:pPr>
    </w:p>
    <w:p w:rsidR="00AC0AB7" w:rsidRDefault="00AC0AB7" w:rsidP="00E05865">
      <w:pPr>
        <w:spacing w:after="0" w:line="240" w:lineRule="auto"/>
        <w:ind w:left="-284" w:right="261"/>
        <w:jc w:val="both"/>
        <w:rPr>
          <w:szCs w:val="24"/>
        </w:rPr>
      </w:pPr>
      <w:r>
        <w:rPr>
          <w:szCs w:val="24"/>
        </w:rPr>
        <w:t xml:space="preserve">This Policy is effective from </w:t>
      </w:r>
      <w:r w:rsidRPr="00E0236F">
        <w:rPr>
          <w:color w:val="FF0000"/>
          <w:szCs w:val="24"/>
        </w:rPr>
        <w:t>12</w:t>
      </w:r>
      <w:r w:rsidRPr="00E0236F">
        <w:rPr>
          <w:color w:val="FF0000"/>
          <w:szCs w:val="24"/>
          <w:vertAlign w:val="superscript"/>
        </w:rPr>
        <w:t>th</w:t>
      </w:r>
      <w:r w:rsidRPr="00E0236F">
        <w:rPr>
          <w:color w:val="FF0000"/>
          <w:szCs w:val="24"/>
        </w:rPr>
        <w:t xml:space="preserve"> October 2016 </w:t>
      </w:r>
      <w:r>
        <w:rPr>
          <w:szCs w:val="24"/>
        </w:rPr>
        <w:t xml:space="preserve">and replaces </w:t>
      </w:r>
      <w:r w:rsidR="00F65C6B">
        <w:rPr>
          <w:szCs w:val="24"/>
        </w:rPr>
        <w:t xml:space="preserve">all and any previous policies relating to Child Protection and Safeguarding. </w:t>
      </w:r>
    </w:p>
    <w:p w:rsidR="00AC0AB7" w:rsidRDefault="00AC0AB7" w:rsidP="00E05865">
      <w:pPr>
        <w:spacing w:after="0" w:line="240" w:lineRule="auto"/>
        <w:ind w:left="-284" w:right="261"/>
        <w:jc w:val="both"/>
        <w:rPr>
          <w:szCs w:val="24"/>
        </w:rPr>
      </w:pPr>
    </w:p>
    <w:p w:rsidR="00AC0AB7" w:rsidRDefault="00AC0AB7" w:rsidP="00E05865">
      <w:pPr>
        <w:spacing w:after="0" w:line="240" w:lineRule="auto"/>
        <w:ind w:left="-284" w:right="261"/>
        <w:jc w:val="both"/>
        <w:rPr>
          <w:szCs w:val="24"/>
        </w:rPr>
      </w:pPr>
      <w:r>
        <w:rPr>
          <w:szCs w:val="24"/>
        </w:rPr>
        <w:t>The purpose and intent of this Policy is to ensure</w:t>
      </w:r>
      <w:r w:rsidR="00E0236F">
        <w:rPr>
          <w:szCs w:val="24"/>
        </w:rPr>
        <w:t xml:space="preserve"> that the welfare of the</w:t>
      </w:r>
      <w:r>
        <w:rPr>
          <w:szCs w:val="24"/>
        </w:rPr>
        <w:t xml:space="preserve"> pupils </w:t>
      </w:r>
      <w:r w:rsidR="00E0236F">
        <w:rPr>
          <w:szCs w:val="24"/>
        </w:rPr>
        <w:t xml:space="preserve">                </w:t>
      </w:r>
      <w:r>
        <w:rPr>
          <w:szCs w:val="24"/>
        </w:rPr>
        <w:t>attending St. George’</w:t>
      </w:r>
      <w:r w:rsidR="00E0236F">
        <w:rPr>
          <w:szCs w:val="24"/>
        </w:rPr>
        <w:t>s is safeguarded.</w:t>
      </w:r>
    </w:p>
    <w:p w:rsidR="00E0236F" w:rsidRDefault="00E0236F" w:rsidP="00E05865">
      <w:pPr>
        <w:spacing w:after="0" w:line="240" w:lineRule="auto"/>
        <w:ind w:left="-284" w:right="261"/>
        <w:jc w:val="both"/>
        <w:rPr>
          <w:szCs w:val="24"/>
        </w:rPr>
      </w:pPr>
    </w:p>
    <w:p w:rsidR="00E0236F" w:rsidRDefault="00E0236F" w:rsidP="00E05865">
      <w:pPr>
        <w:spacing w:after="0" w:line="240" w:lineRule="auto"/>
        <w:ind w:left="-284" w:right="261"/>
        <w:jc w:val="both"/>
        <w:rPr>
          <w:szCs w:val="24"/>
        </w:rPr>
      </w:pPr>
      <w:r>
        <w:rPr>
          <w:szCs w:val="24"/>
        </w:rPr>
        <w:t>When children feel safe and know that those entrusted to their care</w:t>
      </w:r>
      <w:r w:rsidR="00A51898">
        <w:rPr>
          <w:szCs w:val="24"/>
        </w:rPr>
        <w:t>,</w:t>
      </w:r>
      <w:r>
        <w:rPr>
          <w:szCs w:val="24"/>
        </w:rPr>
        <w:t xml:space="preserve"> will protect their welfare, they are more likely to achieve their potential and enjoy their learning.</w:t>
      </w:r>
    </w:p>
    <w:p w:rsidR="00E0236F" w:rsidRDefault="00E0236F" w:rsidP="00E05865">
      <w:pPr>
        <w:spacing w:after="0" w:line="240" w:lineRule="auto"/>
        <w:ind w:left="-284" w:right="261"/>
        <w:jc w:val="both"/>
        <w:rPr>
          <w:szCs w:val="24"/>
        </w:rPr>
      </w:pPr>
    </w:p>
    <w:p w:rsidR="00E0236F" w:rsidRDefault="00E0236F" w:rsidP="00E05865">
      <w:pPr>
        <w:pStyle w:val="ListParagraph"/>
        <w:numPr>
          <w:ilvl w:val="0"/>
          <w:numId w:val="1"/>
        </w:numPr>
        <w:spacing w:after="0" w:line="240" w:lineRule="auto"/>
        <w:ind w:right="261"/>
        <w:jc w:val="both"/>
        <w:rPr>
          <w:szCs w:val="24"/>
        </w:rPr>
      </w:pPr>
      <w:r>
        <w:rPr>
          <w:szCs w:val="24"/>
        </w:rPr>
        <w:t>The Governors requir</w:t>
      </w:r>
      <w:r w:rsidR="00821F13">
        <w:rPr>
          <w:szCs w:val="24"/>
        </w:rPr>
        <w:t>e the Senior Leadership of the S</w:t>
      </w:r>
      <w:r>
        <w:rPr>
          <w:szCs w:val="24"/>
        </w:rPr>
        <w:t>chool to have in place guidance, procedures and protocols wh</w:t>
      </w:r>
      <w:r w:rsidR="00821F13">
        <w:rPr>
          <w:szCs w:val="24"/>
        </w:rPr>
        <w:t xml:space="preserve">ich meet the requirement of </w:t>
      </w:r>
      <w:r>
        <w:rPr>
          <w:szCs w:val="24"/>
        </w:rPr>
        <w:t xml:space="preserve">current Safeguarding and Child Protection legislation and guidance.  See: </w:t>
      </w:r>
      <w:r>
        <w:rPr>
          <w:szCs w:val="24"/>
          <w:u w:val="single"/>
        </w:rPr>
        <w:t>Working Together to Safeguard Children</w:t>
      </w:r>
    </w:p>
    <w:p w:rsidR="00E0236F" w:rsidRDefault="00E0236F" w:rsidP="00E05865">
      <w:pPr>
        <w:pStyle w:val="ListParagraph"/>
        <w:spacing w:after="0" w:line="240" w:lineRule="auto"/>
        <w:ind w:left="436" w:right="261"/>
        <w:jc w:val="both"/>
        <w:rPr>
          <w:szCs w:val="24"/>
        </w:rPr>
      </w:pPr>
    </w:p>
    <w:p w:rsidR="00E0236F" w:rsidRDefault="00440A2E" w:rsidP="00E05865">
      <w:pPr>
        <w:pStyle w:val="ListParagraph"/>
        <w:numPr>
          <w:ilvl w:val="0"/>
          <w:numId w:val="1"/>
        </w:numPr>
        <w:spacing w:after="0" w:line="240" w:lineRule="auto"/>
        <w:ind w:right="261"/>
        <w:jc w:val="both"/>
        <w:rPr>
          <w:szCs w:val="24"/>
        </w:rPr>
      </w:pPr>
      <w:r>
        <w:rPr>
          <w:szCs w:val="24"/>
        </w:rPr>
        <w:t>The Headmistress</w:t>
      </w:r>
      <w:r w:rsidR="00E0236F">
        <w:rPr>
          <w:szCs w:val="24"/>
        </w:rPr>
        <w:t xml:space="preserve"> is required to appoint a Designated Senior Person (DSP) and a Deputy Designated Senior Person (DDSP)</w:t>
      </w:r>
    </w:p>
    <w:p w:rsidR="00E0236F" w:rsidRDefault="00E0236F" w:rsidP="00E05865">
      <w:pPr>
        <w:pStyle w:val="ListParagraph"/>
        <w:spacing w:after="0" w:line="240" w:lineRule="auto"/>
        <w:ind w:left="436" w:right="261"/>
        <w:jc w:val="both"/>
        <w:rPr>
          <w:szCs w:val="24"/>
        </w:rPr>
      </w:pPr>
    </w:p>
    <w:p w:rsidR="00E0236F" w:rsidRDefault="00E0236F" w:rsidP="00E05865">
      <w:pPr>
        <w:pStyle w:val="ListParagraph"/>
        <w:numPr>
          <w:ilvl w:val="0"/>
          <w:numId w:val="1"/>
        </w:numPr>
        <w:spacing w:after="0" w:line="240" w:lineRule="auto"/>
        <w:ind w:right="261"/>
        <w:jc w:val="both"/>
        <w:rPr>
          <w:szCs w:val="24"/>
        </w:rPr>
      </w:pPr>
      <w:r>
        <w:rPr>
          <w:szCs w:val="24"/>
        </w:rPr>
        <w:t>The DSP will be responsible for ensuring the guidance, procedures and protocols are kept under c</w:t>
      </w:r>
      <w:r w:rsidR="000C475B">
        <w:rPr>
          <w:szCs w:val="24"/>
        </w:rPr>
        <w:t xml:space="preserve">onstant review and amended to ensure they </w:t>
      </w:r>
      <w:r>
        <w:rPr>
          <w:szCs w:val="24"/>
        </w:rPr>
        <w:t>continue to meet the requirement of the relevant legislation and guidance and not less than annually</w:t>
      </w:r>
      <w:r w:rsidR="000C475B">
        <w:rPr>
          <w:szCs w:val="24"/>
        </w:rPr>
        <w:t>,</w:t>
      </w:r>
      <w:r>
        <w:rPr>
          <w:szCs w:val="24"/>
        </w:rPr>
        <w:t xml:space="preserve"> when in year changes are not required</w:t>
      </w:r>
    </w:p>
    <w:p w:rsidR="000C475B" w:rsidRDefault="000C475B" w:rsidP="00E05865">
      <w:pPr>
        <w:pStyle w:val="ListParagraph"/>
        <w:spacing w:after="0" w:line="240" w:lineRule="auto"/>
        <w:ind w:left="436" w:right="261"/>
        <w:jc w:val="both"/>
        <w:rPr>
          <w:szCs w:val="24"/>
        </w:rPr>
      </w:pPr>
    </w:p>
    <w:p w:rsidR="000C475B" w:rsidRDefault="000C475B" w:rsidP="00E05865">
      <w:pPr>
        <w:pStyle w:val="ListParagraph"/>
        <w:numPr>
          <w:ilvl w:val="0"/>
          <w:numId w:val="1"/>
        </w:numPr>
        <w:spacing w:after="0" w:line="240" w:lineRule="auto"/>
        <w:ind w:right="261"/>
        <w:jc w:val="both"/>
        <w:rPr>
          <w:szCs w:val="24"/>
        </w:rPr>
      </w:pPr>
      <w:r>
        <w:rPr>
          <w:szCs w:val="24"/>
        </w:rPr>
        <w:t>The DSP will publish a termly summar</w:t>
      </w:r>
      <w:r w:rsidR="00821F13">
        <w:rPr>
          <w:szCs w:val="24"/>
        </w:rPr>
        <w:t>y to Governors of Safeguarding R</w:t>
      </w:r>
      <w:r>
        <w:rPr>
          <w:szCs w:val="24"/>
        </w:rPr>
        <w:t>eferrals made to the Children’s S</w:t>
      </w:r>
      <w:r w:rsidR="00821F13">
        <w:rPr>
          <w:szCs w:val="24"/>
        </w:rPr>
        <w:t>ervices Assessment Team and an Annual R</w:t>
      </w:r>
      <w:r>
        <w:rPr>
          <w:szCs w:val="24"/>
        </w:rPr>
        <w:t>eport on the effectiveness of Child Safeguarding and promoting the welfare of children in the School</w:t>
      </w:r>
    </w:p>
    <w:p w:rsidR="000C475B" w:rsidRDefault="000C475B" w:rsidP="00E05865">
      <w:pPr>
        <w:pStyle w:val="ListParagraph"/>
        <w:spacing w:after="0" w:line="240" w:lineRule="auto"/>
        <w:ind w:left="436" w:right="261"/>
        <w:jc w:val="both"/>
        <w:rPr>
          <w:szCs w:val="24"/>
        </w:rPr>
      </w:pPr>
    </w:p>
    <w:p w:rsidR="00F65C6B" w:rsidRDefault="000C475B" w:rsidP="00F65C6B">
      <w:pPr>
        <w:pStyle w:val="ListParagraph"/>
        <w:numPr>
          <w:ilvl w:val="0"/>
          <w:numId w:val="1"/>
        </w:numPr>
        <w:spacing w:after="0" w:line="240" w:lineRule="auto"/>
        <w:ind w:right="261"/>
        <w:jc w:val="both"/>
        <w:rPr>
          <w:szCs w:val="24"/>
        </w:rPr>
      </w:pPr>
      <w:r>
        <w:rPr>
          <w:szCs w:val="24"/>
        </w:rPr>
        <w:t>The Governing Body will nominate and appoint a Child Protection Governor, who will be responsible for oversight and due diligence, in relation to ensure that guidance, procedures, protocols and training in the School</w:t>
      </w:r>
      <w:r w:rsidR="00821F13">
        <w:rPr>
          <w:szCs w:val="24"/>
        </w:rPr>
        <w:t>,</w:t>
      </w:r>
      <w:r>
        <w:rPr>
          <w:szCs w:val="24"/>
        </w:rPr>
        <w:t xml:space="preserve"> are effective and comply with the law at all times</w:t>
      </w:r>
      <w:r w:rsidR="00F65C6B">
        <w:rPr>
          <w:szCs w:val="24"/>
        </w:rPr>
        <w:t xml:space="preserve">. </w:t>
      </w:r>
    </w:p>
    <w:p w:rsidR="00F65C6B" w:rsidRPr="00F65C6B" w:rsidRDefault="00F65C6B" w:rsidP="00F65C6B">
      <w:pPr>
        <w:pStyle w:val="ListParagraph"/>
        <w:rPr>
          <w:szCs w:val="24"/>
        </w:rPr>
      </w:pPr>
    </w:p>
    <w:p w:rsidR="00D81EA5" w:rsidRPr="00F65C6B" w:rsidRDefault="00F65C6B" w:rsidP="00F65C6B">
      <w:pPr>
        <w:pStyle w:val="ListParagraph"/>
        <w:numPr>
          <w:ilvl w:val="0"/>
          <w:numId w:val="1"/>
        </w:numPr>
        <w:spacing w:after="0" w:line="240" w:lineRule="auto"/>
        <w:ind w:right="261"/>
        <w:jc w:val="both"/>
        <w:rPr>
          <w:szCs w:val="24"/>
        </w:rPr>
      </w:pPr>
      <w:r>
        <w:rPr>
          <w:szCs w:val="24"/>
        </w:rPr>
        <w:t>Those designated can be found at the start of the “</w:t>
      </w:r>
      <w:r w:rsidRPr="00F65C6B">
        <w:rPr>
          <w:szCs w:val="24"/>
        </w:rPr>
        <w:t>Child Protection (Safeguarding) Procedure</w:t>
      </w:r>
      <w:r>
        <w:rPr>
          <w:szCs w:val="24"/>
        </w:rPr>
        <w:t xml:space="preserve">” described as </w:t>
      </w:r>
      <w:r w:rsidRPr="00F65C6B">
        <w:rPr>
          <w:szCs w:val="24"/>
        </w:rPr>
        <w:t>“</w:t>
      </w:r>
      <w:r w:rsidR="00D81EA5" w:rsidRPr="00F65C6B">
        <w:rPr>
          <w:szCs w:val="24"/>
        </w:rPr>
        <w:t xml:space="preserve">Important </w:t>
      </w:r>
      <w:proofErr w:type="spellStart"/>
      <w:r w:rsidR="00D81EA5" w:rsidRPr="00F65C6B">
        <w:rPr>
          <w:szCs w:val="24"/>
        </w:rPr>
        <w:t>Postholders</w:t>
      </w:r>
      <w:proofErr w:type="spellEnd"/>
      <w:r>
        <w:rPr>
          <w:szCs w:val="24"/>
        </w:rPr>
        <w:t>”.</w:t>
      </w:r>
    </w:p>
    <w:p w:rsidR="00D81EA5" w:rsidRDefault="00D81EA5" w:rsidP="00D81EA5">
      <w:pPr>
        <w:pStyle w:val="ListParagraph"/>
        <w:spacing w:after="0" w:line="240" w:lineRule="auto"/>
        <w:ind w:left="-284" w:right="261"/>
        <w:jc w:val="both"/>
        <w:rPr>
          <w:szCs w:val="24"/>
        </w:rPr>
      </w:pPr>
    </w:p>
    <w:p w:rsidR="000C475B" w:rsidRDefault="000C475B" w:rsidP="00E05865">
      <w:pPr>
        <w:pStyle w:val="ListParagraph"/>
        <w:spacing w:after="0" w:line="240" w:lineRule="auto"/>
        <w:ind w:left="-284" w:right="261"/>
        <w:jc w:val="both"/>
        <w:rPr>
          <w:szCs w:val="24"/>
        </w:rPr>
      </w:pPr>
      <w:r>
        <w:rPr>
          <w:b/>
          <w:szCs w:val="24"/>
        </w:rPr>
        <w:t>Policy Owner</w:t>
      </w:r>
      <w:r>
        <w:rPr>
          <w:szCs w:val="24"/>
        </w:rPr>
        <w:t>:</w:t>
      </w:r>
      <w:r>
        <w:rPr>
          <w:szCs w:val="24"/>
        </w:rPr>
        <w:tab/>
        <w:t>Christine Theakston</w:t>
      </w:r>
    </w:p>
    <w:p w:rsidR="000C475B" w:rsidRDefault="000C475B" w:rsidP="00E05865">
      <w:pPr>
        <w:pStyle w:val="ListParagraph"/>
        <w:spacing w:after="0" w:line="240" w:lineRule="auto"/>
        <w:ind w:left="-284" w:right="261"/>
        <w:jc w:val="both"/>
        <w:rPr>
          <w:szCs w:val="24"/>
        </w:rPr>
      </w:pPr>
    </w:p>
    <w:p w:rsidR="00E05865" w:rsidRDefault="000C475B" w:rsidP="00F65C6B">
      <w:pPr>
        <w:pStyle w:val="ListParagraph"/>
        <w:spacing w:after="0" w:line="240" w:lineRule="auto"/>
        <w:ind w:left="-284" w:right="261"/>
        <w:jc w:val="both"/>
        <w:rPr>
          <w:szCs w:val="24"/>
        </w:rPr>
      </w:pPr>
      <w:r>
        <w:rPr>
          <w:szCs w:val="24"/>
        </w:rPr>
        <w:t>This Policy will be reviewed annually or from time-to-time, when changes of personnel or legislation require it.</w:t>
      </w:r>
    </w:p>
    <w:p w:rsidR="00E05865" w:rsidRDefault="00E05865" w:rsidP="00E05865">
      <w:pPr>
        <w:pStyle w:val="ListParagraph"/>
        <w:spacing w:after="0" w:line="240" w:lineRule="auto"/>
        <w:ind w:left="0" w:right="261"/>
        <w:jc w:val="both"/>
        <w:rPr>
          <w:szCs w:val="24"/>
        </w:rPr>
      </w:pPr>
    </w:p>
    <w:p w:rsidR="00500F44" w:rsidRPr="000C475B" w:rsidRDefault="00500F44" w:rsidP="00E05865">
      <w:pPr>
        <w:pStyle w:val="ListParagraph"/>
        <w:spacing w:after="0" w:line="240" w:lineRule="auto"/>
        <w:ind w:left="0" w:right="261"/>
        <w:jc w:val="both"/>
        <w:rPr>
          <w:szCs w:val="24"/>
        </w:rPr>
      </w:pPr>
    </w:p>
    <w:p w:rsidR="00AC0AB7" w:rsidRPr="00500F44" w:rsidRDefault="00500F44" w:rsidP="00E05865">
      <w:pPr>
        <w:spacing w:after="0" w:line="240" w:lineRule="auto"/>
        <w:ind w:left="-284" w:right="261"/>
        <w:jc w:val="both"/>
        <w:rPr>
          <w:szCs w:val="24"/>
        </w:rPr>
      </w:pPr>
      <w:r>
        <w:rPr>
          <w:b/>
          <w:szCs w:val="24"/>
        </w:rPr>
        <w:t>Signature</w:t>
      </w:r>
      <w:proofErr w:type="gramStart"/>
      <w:r>
        <w:rPr>
          <w:szCs w:val="24"/>
        </w:rPr>
        <w:t>:</w:t>
      </w:r>
      <w:r w:rsidR="00E05865">
        <w:rPr>
          <w:szCs w:val="24"/>
        </w:rPr>
        <w:t>…. …………………………………………………</w:t>
      </w:r>
      <w:proofErr w:type="gramEnd"/>
      <w:r w:rsidR="00E05865">
        <w:rPr>
          <w:szCs w:val="24"/>
        </w:rPr>
        <w:tab/>
      </w:r>
    </w:p>
    <w:p w:rsidR="00500F44" w:rsidRDefault="00500F44" w:rsidP="00E05865">
      <w:pPr>
        <w:spacing w:after="0" w:line="240" w:lineRule="auto"/>
        <w:ind w:left="-284" w:right="261"/>
        <w:jc w:val="both"/>
        <w:rPr>
          <w:szCs w:val="24"/>
        </w:rPr>
      </w:pPr>
    </w:p>
    <w:p w:rsidR="00500F44" w:rsidRPr="00500F44" w:rsidRDefault="00500F44" w:rsidP="00E05865">
      <w:pPr>
        <w:spacing w:after="0" w:line="240" w:lineRule="auto"/>
        <w:ind w:left="-284" w:right="261"/>
        <w:jc w:val="both"/>
        <w:rPr>
          <w:b/>
          <w:szCs w:val="24"/>
        </w:rPr>
      </w:pPr>
      <w:r>
        <w:rPr>
          <w:b/>
          <w:szCs w:val="24"/>
        </w:rPr>
        <w:t>Chair of Governors</w:t>
      </w:r>
    </w:p>
    <w:sectPr w:rsidR="00500F44" w:rsidRPr="00500F44" w:rsidSect="00821F13">
      <w:pgSz w:w="11906" w:h="16838"/>
      <w:pgMar w:top="1134" w:right="849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61F7"/>
    <w:multiLevelType w:val="hybridMultilevel"/>
    <w:tmpl w:val="D6B680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B7"/>
    <w:rsid w:val="000C475B"/>
    <w:rsid w:val="002F4955"/>
    <w:rsid w:val="003C3F32"/>
    <w:rsid w:val="00440A2E"/>
    <w:rsid w:val="00500F44"/>
    <w:rsid w:val="00821F13"/>
    <w:rsid w:val="009A7A3F"/>
    <w:rsid w:val="00A36A5E"/>
    <w:rsid w:val="00A51898"/>
    <w:rsid w:val="00A77D51"/>
    <w:rsid w:val="00AC0AB7"/>
    <w:rsid w:val="00B7485F"/>
    <w:rsid w:val="00D81EA5"/>
    <w:rsid w:val="00E0236F"/>
    <w:rsid w:val="00E05865"/>
    <w:rsid w:val="00F65C6B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E587F7FA.dotm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schoolhouse1</dc:creator>
  <cp:lastModifiedBy>Personnel</cp:lastModifiedBy>
  <cp:revision>2</cp:revision>
  <cp:lastPrinted>2016-10-10T10:45:00Z</cp:lastPrinted>
  <dcterms:created xsi:type="dcterms:W3CDTF">2019-05-09T11:38:00Z</dcterms:created>
  <dcterms:modified xsi:type="dcterms:W3CDTF">2019-05-09T11:38:00Z</dcterms:modified>
</cp:coreProperties>
</file>